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E41D0E"/>
          <w:spacing w:val="0"/>
          <w:sz w:val="32"/>
          <w:szCs w:val="32"/>
          <w:shd w:val="clear" w:fill="FFFFFF"/>
          <w:lang w:eastAsia="zh-CN"/>
        </w:rPr>
        <w:t>南京师范大学附属中学江宁分校</w:t>
      </w:r>
      <w:r>
        <w:rPr>
          <w:rFonts w:hint="eastAsia" w:ascii="宋体" w:hAnsi="宋体" w:eastAsia="宋体" w:cs="宋体"/>
          <w:b/>
          <w:i w:val="0"/>
          <w:caps w:val="0"/>
          <w:color w:val="E41D0E"/>
          <w:spacing w:val="0"/>
          <w:sz w:val="32"/>
          <w:szCs w:val="32"/>
          <w:shd w:val="clear" w:fill="FFFFFF"/>
        </w:rPr>
        <w:t>教育发展基金会简介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南京师范大学附属中学江宁分校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教育发展基金会成立于2016年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月，是由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南京师范大学附属中学江宁分校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发起设立的，经南京市教育局和南京市民政局核准登记的非公募基金会。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基金会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遵守中华人民共和国宪法、法律、法规、规章和国家政策，遵守社会道德风尚，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致力于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加强南京师范大学附属中学江宁分校与社会各界的联系和合作，通过资助服务、利益表达和社会倡导，积极推进素质教育，促进南京师范大学附属中学江宁分校教育事业的发展。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基金会于2016年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月顺利完成第一届理事会的推选工作，现有理事7名，监事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成立以来，严格按照基金会宗旨和章程所含的公益项目范围开展公益活动，为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南京师范大学附属中学江宁分校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的建设与发展提供强有力的资金支持。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机构设置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理事长：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张士民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秘书长：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黄伟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理事（7名）：</w:t>
      </w:r>
    </w:p>
    <w:tbl>
      <w:tblPr>
        <w:tblW w:w="83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00"/>
        <w:gridCol w:w="1515"/>
        <w:gridCol w:w="4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张士民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理事长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秘书长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副理事长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姜歆然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王洁筠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江宁经济技术开发总公司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陈奕熙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鸿国集团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监事（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名）：</w:t>
      </w:r>
    </w:p>
    <w:tbl>
      <w:tblPr>
        <w:tblW w:w="835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00"/>
        <w:gridCol w:w="1515"/>
        <w:gridCol w:w="465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梁晓峰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李滔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王朝阳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监事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南京师范大学附属中学江宁分校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26A4A"/>
    <w:rsid w:val="09426A4A"/>
    <w:rsid w:val="365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2020-05-11T07:59:00Z</dcterms:created>
  <dc:creator>Administrator</dc:creator>
  <cp:lastModifiedBy>Administrator</cp:lastModifiedBy>
  <dcterms:modified xsi:type="dcterms:W3CDTF">2020-05-11T09:00:16Z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