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86E6">
      <w:pPr>
        <w:adjustRightInd w:val="0"/>
        <w:snapToGrid w:val="0"/>
        <w:spacing w:line="560" w:lineRule="exact"/>
        <w:jc w:val="center"/>
        <w:rPr>
          <w:rFonts w:hint="eastAsia" w:ascii="宋体" w:hAnsi="宋体"/>
          <w:b/>
          <w:sz w:val="32"/>
          <w:szCs w:val="32"/>
        </w:rPr>
      </w:pPr>
      <w:r>
        <w:rPr>
          <w:rFonts w:hint="eastAsia" w:ascii="宋体" w:hAnsi="宋体"/>
          <w:b/>
          <w:sz w:val="32"/>
          <w:szCs w:val="32"/>
          <w:lang w:val="en-US" w:eastAsia="zh-CN"/>
        </w:rPr>
        <w:t>教室及办公室门更换</w:t>
      </w:r>
      <w:r>
        <w:rPr>
          <w:rFonts w:hint="eastAsia" w:ascii="宋体" w:hAnsi="宋体"/>
          <w:b/>
          <w:sz w:val="32"/>
          <w:szCs w:val="32"/>
        </w:rPr>
        <w:t>清单</w:t>
      </w:r>
    </w:p>
    <w:p w14:paraId="3B63BD2A">
      <w:pPr>
        <w:adjustRightInd w:val="0"/>
        <w:snapToGrid w:val="0"/>
        <w:spacing w:line="560" w:lineRule="exact"/>
        <w:jc w:val="left"/>
        <w:rPr>
          <w:rFonts w:hint="eastAsia" w:ascii="宋体" w:hAnsi="宋体"/>
          <w:b/>
          <w:szCs w:val="21"/>
        </w:rPr>
      </w:pPr>
    </w:p>
    <w:p w14:paraId="69E1C403">
      <w:pPr>
        <w:adjustRightInd w:val="0"/>
        <w:snapToGrid w:val="0"/>
        <w:spacing w:line="560" w:lineRule="exact"/>
        <w:jc w:val="left"/>
        <w:rPr>
          <w:rFonts w:hint="eastAsia" w:ascii="宋体" w:hAnsi="宋体"/>
          <w:b/>
          <w:szCs w:val="21"/>
        </w:rPr>
      </w:pPr>
      <w:r>
        <w:rPr>
          <w:rFonts w:hint="eastAsia" w:ascii="宋体" w:hAnsi="宋体"/>
          <w:b/>
          <w:szCs w:val="21"/>
        </w:rPr>
        <w:t>一、项目概况</w:t>
      </w:r>
    </w:p>
    <w:p w14:paraId="03231D73">
      <w:pPr>
        <w:spacing w:line="3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建设单位</w:t>
      </w:r>
      <w:r>
        <w:rPr>
          <w:rFonts w:ascii="宋体" w:hAnsi="宋体"/>
          <w:szCs w:val="21"/>
        </w:rPr>
        <w:t>：</w:t>
      </w:r>
      <w:r>
        <w:rPr>
          <w:rFonts w:hint="eastAsia" w:ascii="宋体" w:hAnsi="宋体"/>
          <w:szCs w:val="21"/>
          <w:lang w:val="en-US" w:eastAsia="zh-CN"/>
        </w:rPr>
        <w:t>南京东南实验学校</w:t>
      </w:r>
    </w:p>
    <w:p w14:paraId="547E827D">
      <w:pPr>
        <w:spacing w:line="300" w:lineRule="exact"/>
        <w:ind w:firstLine="420" w:firstLineChars="200"/>
        <w:rPr>
          <w:rFonts w:hint="eastAsia" w:ascii="宋体" w:hAnsi="宋体" w:eastAsia="宋体"/>
          <w:szCs w:val="21"/>
          <w:lang w:eastAsia="zh-CN"/>
        </w:rPr>
      </w:pPr>
      <w:r>
        <w:rPr>
          <w:rFonts w:hint="eastAsia" w:ascii="宋体" w:hAnsi="宋体"/>
          <w:szCs w:val="21"/>
        </w:rPr>
        <w:t>2、招标数量：</w:t>
      </w:r>
      <w:r>
        <w:rPr>
          <w:rFonts w:hint="eastAsia" w:ascii="宋体" w:hAnsi="宋体"/>
          <w:szCs w:val="21"/>
          <w:lang w:val="en-US" w:eastAsia="zh-CN"/>
        </w:rPr>
        <w:t>100</w:t>
      </w:r>
      <w:r>
        <w:rPr>
          <w:rFonts w:hint="eastAsia" w:ascii="宋体" w:hAnsi="宋体"/>
          <w:szCs w:val="21"/>
        </w:rPr>
        <w:t xml:space="preserve">樘 </w:t>
      </w:r>
      <w:r>
        <w:rPr>
          <w:rFonts w:hint="eastAsia" w:ascii="宋体" w:hAnsi="宋体"/>
          <w:szCs w:val="21"/>
          <w:lang w:eastAsia="zh-CN"/>
        </w:rPr>
        <w:t>（</w:t>
      </w:r>
      <w:r>
        <w:rPr>
          <w:rFonts w:hint="eastAsia" w:ascii="宋体" w:hAnsi="宋体"/>
          <w:szCs w:val="21"/>
          <w:lang w:val="en-US" w:eastAsia="zh-CN"/>
        </w:rPr>
        <w:t>以实际采购数量为准</w:t>
      </w:r>
      <w:r>
        <w:rPr>
          <w:rFonts w:hint="eastAsia" w:ascii="宋体" w:hAnsi="宋体"/>
          <w:szCs w:val="21"/>
          <w:lang w:eastAsia="zh-CN"/>
        </w:rPr>
        <w:t>）</w:t>
      </w:r>
    </w:p>
    <w:p w14:paraId="3A435A51">
      <w:pPr>
        <w:spacing w:line="300" w:lineRule="exact"/>
        <w:ind w:firstLine="420" w:firstLineChars="200"/>
        <w:rPr>
          <w:rFonts w:ascii="宋体" w:hAnsi="宋体"/>
          <w:szCs w:val="21"/>
        </w:rPr>
      </w:pPr>
      <w:r>
        <w:rPr>
          <w:rFonts w:hint="eastAsia" w:ascii="宋体" w:hAnsi="宋体"/>
          <w:szCs w:val="21"/>
        </w:rPr>
        <w:t>3、内容及规格：</w:t>
      </w:r>
      <w:r>
        <w:rPr>
          <w:rFonts w:hint="eastAsia" w:ascii="宋体" w:hAnsi="宋体" w:cs="宋体"/>
          <w:szCs w:val="21"/>
        </w:rPr>
        <w:t>锌合金</w:t>
      </w:r>
      <w:r>
        <w:rPr>
          <w:rFonts w:hint="eastAsia" w:ascii="宋体" w:hAnsi="宋体" w:cs="宋体"/>
          <w:kern w:val="0"/>
          <w:szCs w:val="21"/>
        </w:rPr>
        <w:t>防盗门</w:t>
      </w:r>
      <w:r>
        <w:rPr>
          <w:rFonts w:hint="eastAsia" w:ascii="宋体" w:hAnsi="宋体"/>
          <w:szCs w:val="21"/>
        </w:rPr>
        <w:t>的采购安装</w:t>
      </w:r>
    </w:p>
    <w:p w14:paraId="2295D54E">
      <w:pPr>
        <w:spacing w:line="300" w:lineRule="exact"/>
        <w:ind w:firstLine="420" w:firstLineChars="200"/>
        <w:rPr>
          <w:rFonts w:hint="eastAsia" w:ascii="宋体" w:hAnsi="宋体"/>
          <w:szCs w:val="21"/>
        </w:rPr>
      </w:pPr>
      <w:r>
        <w:rPr>
          <w:rFonts w:hint="eastAsia" w:ascii="宋体" w:hAnsi="宋体"/>
          <w:szCs w:val="21"/>
        </w:rPr>
        <w:t>4、合同履行期：接甲方通知</w:t>
      </w:r>
      <w:r>
        <w:rPr>
          <w:rFonts w:ascii="宋体" w:hAnsi="宋体"/>
          <w:szCs w:val="21"/>
        </w:rPr>
        <w:t>4</w:t>
      </w:r>
      <w:r>
        <w:rPr>
          <w:rFonts w:hint="eastAsia" w:ascii="宋体" w:hAnsi="宋体"/>
          <w:szCs w:val="21"/>
          <w:lang w:val="en-US" w:eastAsia="zh-CN"/>
        </w:rPr>
        <w:t>0</w:t>
      </w:r>
      <w:r>
        <w:rPr>
          <w:rFonts w:hint="eastAsia" w:ascii="宋体" w:hAnsi="宋体"/>
          <w:szCs w:val="21"/>
        </w:rPr>
        <w:t>日历天内完成所有供货安装、竣工验收并交付。</w:t>
      </w:r>
    </w:p>
    <w:p w14:paraId="16422E7D">
      <w:pPr>
        <w:adjustRightInd w:val="0"/>
        <w:snapToGrid w:val="0"/>
        <w:spacing w:line="560" w:lineRule="exact"/>
        <w:jc w:val="left"/>
        <w:rPr>
          <w:rFonts w:ascii="宋体" w:hAnsi="宋体"/>
          <w:b/>
          <w:szCs w:val="21"/>
        </w:rPr>
      </w:pPr>
      <w:r>
        <w:rPr>
          <w:rFonts w:hint="eastAsia" w:ascii="宋体" w:hAnsi="宋体"/>
          <w:b/>
          <w:szCs w:val="21"/>
        </w:rPr>
        <w:t>二、采购货物清单</w:t>
      </w:r>
    </w:p>
    <w:tbl>
      <w:tblPr>
        <w:tblStyle w:val="5"/>
        <w:tblW w:w="8816" w:type="dxa"/>
        <w:jc w:val="center"/>
        <w:tblLayout w:type="fixed"/>
        <w:tblCellMar>
          <w:top w:w="0" w:type="dxa"/>
          <w:left w:w="108" w:type="dxa"/>
          <w:bottom w:w="0" w:type="dxa"/>
          <w:right w:w="108" w:type="dxa"/>
        </w:tblCellMar>
      </w:tblPr>
      <w:tblGrid>
        <w:gridCol w:w="424"/>
        <w:gridCol w:w="647"/>
        <w:gridCol w:w="941"/>
        <w:gridCol w:w="3431"/>
        <w:gridCol w:w="573"/>
        <w:gridCol w:w="577"/>
        <w:gridCol w:w="2223"/>
      </w:tblGrid>
      <w:tr w14:paraId="7284C5E5">
        <w:tblPrEx>
          <w:tblCellMar>
            <w:top w:w="0" w:type="dxa"/>
            <w:left w:w="108" w:type="dxa"/>
            <w:bottom w:w="0" w:type="dxa"/>
            <w:right w:w="108" w:type="dxa"/>
          </w:tblCellMar>
        </w:tblPrEx>
        <w:trPr>
          <w:trHeight w:val="790"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7672C781">
            <w:pPr>
              <w:widowControl/>
              <w:spacing w:line="360" w:lineRule="exact"/>
              <w:jc w:val="center"/>
              <w:textAlignment w:val="center"/>
              <w:rPr>
                <w:rFonts w:ascii="宋体" w:hAnsi="宋体" w:cs="宋体"/>
                <w:b/>
                <w:bCs/>
                <w:szCs w:val="21"/>
              </w:rPr>
            </w:pPr>
            <w:r>
              <w:rPr>
                <w:rFonts w:hint="eastAsia" w:ascii="宋体" w:hAnsi="宋体" w:cs="宋体"/>
                <w:b/>
                <w:bCs/>
                <w:kern w:val="0"/>
                <w:szCs w:val="21"/>
              </w:rPr>
              <w:t>序号</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4B317691">
            <w:pPr>
              <w:widowControl/>
              <w:spacing w:line="360" w:lineRule="exact"/>
              <w:jc w:val="center"/>
              <w:textAlignment w:val="center"/>
              <w:rPr>
                <w:rFonts w:ascii="宋体" w:hAnsi="宋体" w:cs="宋体"/>
                <w:b/>
                <w:bCs/>
                <w:szCs w:val="21"/>
              </w:rPr>
            </w:pPr>
            <w:r>
              <w:rPr>
                <w:rFonts w:hint="eastAsia" w:ascii="宋体" w:hAnsi="宋体" w:cs="宋体"/>
                <w:b/>
                <w:bCs/>
                <w:kern w:val="0"/>
                <w:szCs w:val="21"/>
              </w:rPr>
              <w:t>产品名称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E11C1C1">
            <w:pPr>
              <w:widowControl/>
              <w:spacing w:line="360" w:lineRule="exact"/>
              <w:jc w:val="center"/>
              <w:textAlignment w:val="center"/>
              <w:rPr>
                <w:rFonts w:ascii="宋体" w:hAnsi="宋体" w:cs="宋体"/>
                <w:b/>
                <w:bCs/>
                <w:szCs w:val="21"/>
              </w:rPr>
            </w:pPr>
            <w:r>
              <w:rPr>
                <w:rFonts w:hint="eastAsia" w:ascii="宋体" w:hAnsi="宋体" w:cs="宋体"/>
                <w:b/>
                <w:bCs/>
                <w:kern w:val="0"/>
                <w:szCs w:val="21"/>
              </w:rPr>
              <w:t>产品规格(mm)</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14:paraId="4A75935F">
            <w:pPr>
              <w:widowControl/>
              <w:spacing w:line="360" w:lineRule="exact"/>
              <w:jc w:val="center"/>
              <w:textAlignment w:val="center"/>
              <w:rPr>
                <w:rFonts w:ascii="宋体" w:hAnsi="宋体" w:cs="宋体"/>
                <w:b/>
                <w:bCs/>
                <w:szCs w:val="21"/>
              </w:rPr>
            </w:pPr>
            <w:r>
              <w:rPr>
                <w:rFonts w:hint="eastAsia" w:ascii="宋体" w:hAnsi="宋体" w:cs="宋体"/>
                <w:b/>
                <w:bCs/>
                <w:kern w:val="0"/>
                <w:szCs w:val="21"/>
              </w:rPr>
              <w:t>技术参数</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49E9D736">
            <w:pPr>
              <w:widowControl/>
              <w:spacing w:line="360" w:lineRule="exact"/>
              <w:jc w:val="center"/>
              <w:textAlignment w:val="center"/>
              <w:rPr>
                <w:rFonts w:ascii="宋体" w:hAnsi="宋体" w:cs="宋体"/>
                <w:b/>
                <w:bCs/>
                <w:szCs w:val="21"/>
              </w:rPr>
            </w:pPr>
            <w:r>
              <w:rPr>
                <w:rFonts w:hint="eastAsia" w:ascii="宋体" w:hAnsi="宋体" w:cs="宋体"/>
                <w:b/>
                <w:bCs/>
                <w:kern w:val="0"/>
                <w:szCs w:val="21"/>
              </w:rPr>
              <w:t>数量</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56639FD2">
            <w:pPr>
              <w:widowControl/>
              <w:spacing w:line="360" w:lineRule="exact"/>
              <w:jc w:val="center"/>
              <w:textAlignment w:val="center"/>
              <w:rPr>
                <w:rFonts w:ascii="宋体" w:hAnsi="宋体" w:cs="宋体"/>
                <w:b/>
                <w:bCs/>
                <w:szCs w:val="21"/>
              </w:rPr>
            </w:pPr>
            <w:r>
              <w:rPr>
                <w:rFonts w:hint="eastAsia" w:ascii="宋体" w:hAnsi="宋体" w:cs="宋体"/>
                <w:b/>
                <w:bCs/>
                <w:kern w:val="0"/>
                <w:szCs w:val="21"/>
              </w:rPr>
              <w:t>单位</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922DA0D">
            <w:pPr>
              <w:widowControl/>
              <w:spacing w:line="360" w:lineRule="exact"/>
              <w:jc w:val="center"/>
              <w:textAlignment w:val="center"/>
              <w:rPr>
                <w:rFonts w:ascii="宋体" w:hAnsi="宋体" w:cs="宋体"/>
                <w:b/>
                <w:bCs/>
                <w:szCs w:val="21"/>
              </w:rPr>
            </w:pPr>
            <w:r>
              <w:rPr>
                <w:rFonts w:hint="eastAsia" w:ascii="宋体" w:hAnsi="宋体" w:cs="宋体"/>
                <w:b/>
                <w:bCs/>
                <w:kern w:val="0"/>
                <w:szCs w:val="21"/>
              </w:rPr>
              <w:t>参照图例</w:t>
            </w:r>
          </w:p>
        </w:tc>
      </w:tr>
      <w:tr w14:paraId="143A045A">
        <w:tblPrEx>
          <w:tblCellMar>
            <w:top w:w="0" w:type="dxa"/>
            <w:left w:w="108" w:type="dxa"/>
            <w:bottom w:w="0" w:type="dxa"/>
            <w:right w:w="108" w:type="dxa"/>
          </w:tblCellMar>
        </w:tblPrEx>
        <w:trPr>
          <w:trHeight w:val="5274"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519977BF">
            <w:pPr>
              <w:widowControl/>
              <w:spacing w:line="360" w:lineRule="exact"/>
              <w:jc w:val="center"/>
              <w:textAlignment w:val="center"/>
              <w:rPr>
                <w:rFonts w:ascii="宋体" w:hAnsi="宋体" w:cs="宋体"/>
                <w:szCs w:val="21"/>
              </w:rPr>
            </w:pPr>
            <w:r>
              <w:rPr>
                <w:rFonts w:hint="eastAsia" w:ascii="宋体" w:hAnsi="宋体" w:cs="宋体"/>
                <w:kern w:val="0"/>
                <w:szCs w:val="21"/>
              </w:rPr>
              <w:t>1</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315EDAAC">
            <w:pPr>
              <w:widowControl/>
              <w:spacing w:line="360" w:lineRule="exact"/>
              <w:jc w:val="center"/>
              <w:textAlignment w:val="center"/>
              <w:rPr>
                <w:rFonts w:ascii="宋体" w:hAnsi="宋体" w:cs="宋体"/>
                <w:szCs w:val="21"/>
              </w:rPr>
            </w:pPr>
            <w:r>
              <w:rPr>
                <w:rFonts w:hint="eastAsia" w:ascii="宋体" w:hAnsi="宋体" w:cs="宋体"/>
                <w:szCs w:val="21"/>
              </w:rPr>
              <w:t>锌合金</w:t>
            </w:r>
            <w:r>
              <w:rPr>
                <w:rFonts w:hint="eastAsia" w:ascii="宋体" w:hAnsi="宋体" w:cs="宋体"/>
                <w:szCs w:val="21"/>
                <w:lang w:val="en-US" w:eastAsia="zh-CN"/>
              </w:rPr>
              <w:t>防</w:t>
            </w:r>
            <w:r>
              <w:rPr>
                <w:rFonts w:hint="eastAsia" w:ascii="宋体" w:hAnsi="宋体" w:cs="宋体"/>
                <w:kern w:val="0"/>
                <w:szCs w:val="21"/>
              </w:rPr>
              <w:t>盗门</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9076E11">
            <w:pPr>
              <w:widowControl/>
              <w:spacing w:line="360" w:lineRule="exact"/>
              <w:jc w:val="left"/>
              <w:textAlignment w:val="center"/>
              <w:rPr>
                <w:rFonts w:ascii="宋体" w:hAnsi="宋体" w:cs="宋体"/>
                <w:szCs w:val="21"/>
              </w:rPr>
            </w:pPr>
            <w:r>
              <w:rPr>
                <w:rFonts w:hint="eastAsia" w:ascii="宋体" w:hAnsi="宋体" w:cs="宋体"/>
                <w:szCs w:val="21"/>
              </w:rPr>
              <w:t>2180mm×970mm</w:t>
            </w:r>
          </w:p>
        </w:tc>
        <w:tc>
          <w:tcPr>
            <w:tcW w:w="3431" w:type="dxa"/>
            <w:tcBorders>
              <w:top w:val="single" w:color="000000" w:sz="4" w:space="0"/>
              <w:left w:val="single" w:color="000000" w:sz="4" w:space="0"/>
              <w:bottom w:val="single" w:color="000000" w:sz="4" w:space="0"/>
              <w:right w:val="single" w:color="000000" w:sz="4" w:space="0"/>
            </w:tcBorders>
            <w:noWrap w:val="0"/>
            <w:vAlign w:val="center"/>
          </w:tcPr>
          <w:p w14:paraId="04779DEE">
            <w:pPr>
              <w:widowControl/>
              <w:spacing w:line="360" w:lineRule="exact"/>
              <w:jc w:val="left"/>
              <w:textAlignment w:val="center"/>
              <w:rPr>
                <w:rFonts w:ascii="宋体" w:hAnsi="宋体" w:cs="宋体"/>
                <w:szCs w:val="21"/>
              </w:rPr>
            </w:pPr>
            <w:r>
              <w:rPr>
                <w:rFonts w:hint="eastAsia" w:ascii="宋体" w:hAnsi="宋体" w:cs="宋体"/>
                <w:szCs w:val="21"/>
              </w:rPr>
              <w:t>门框和门扇整体为浅灰色，户外粉末喷涂；板材材质为锌合金，防腐防锈符合GB/T 10125-2012标准要求，</w:t>
            </w:r>
            <w:r>
              <w:rPr>
                <w:rFonts w:ascii="宋体" w:hAnsi="宋体" w:cs="宋体"/>
                <w:szCs w:val="21"/>
              </w:rPr>
              <w:t>外框板材厚</w:t>
            </w:r>
            <w:r>
              <w:rPr>
                <w:rFonts w:hint="eastAsia" w:ascii="宋体" w:hAnsi="宋体" w:cs="宋体"/>
                <w:szCs w:val="21"/>
              </w:rPr>
              <w:t>1.5mm，在拉伸测试中屈服强度为225MPa，抗拉强度为339MPa，断裂伸长率为41%，镀层重量为94g/m</w:t>
            </w:r>
            <w:r>
              <w:rPr>
                <w:rFonts w:hint="eastAsia" w:ascii="宋体" w:hAnsi="宋体" w:cs="宋体"/>
                <w:szCs w:val="21"/>
                <w:vertAlign w:val="superscript"/>
              </w:rPr>
              <w:t>2</w:t>
            </w:r>
            <w:r>
              <w:rPr>
                <w:rFonts w:hint="eastAsia" w:ascii="宋体" w:hAnsi="宋体" w:cs="宋体"/>
                <w:szCs w:val="21"/>
              </w:rPr>
              <w:t>；门扇板材厚0.8mm，在拉伸测试中屈服强度为164MPa，抗拉强度为299MPa，断裂伸长率为44%，镀层重量为90g/m</w:t>
            </w:r>
            <w:r>
              <w:rPr>
                <w:rFonts w:hint="eastAsia" w:ascii="宋体" w:hAnsi="宋体" w:cs="宋体"/>
                <w:szCs w:val="21"/>
                <w:vertAlign w:val="superscript"/>
              </w:rPr>
              <w:t>2</w:t>
            </w:r>
            <w:r>
              <w:rPr>
                <w:rFonts w:hint="eastAsia" w:ascii="宋体" w:hAnsi="宋体" w:cs="宋体"/>
                <w:szCs w:val="21"/>
              </w:rPr>
              <w:t>，化学处理为三价铬钝化；门扇厚度为70mm；门扇与门框内填充材料为符合环保要求及规范要求的填充材料；锁芯为铜材质，锁体材质为不锈钢；把手材质为不锈钢；双活拉手。</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14:paraId="7BDCC5B0">
            <w:pPr>
              <w:widowControl/>
              <w:spacing w:line="360" w:lineRule="exact"/>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100</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8A72D23">
            <w:pPr>
              <w:widowControl/>
              <w:spacing w:line="360" w:lineRule="exact"/>
              <w:jc w:val="center"/>
              <w:textAlignment w:val="center"/>
              <w:rPr>
                <w:rFonts w:ascii="宋体" w:hAnsi="宋体" w:cs="宋体"/>
                <w:szCs w:val="21"/>
              </w:rPr>
            </w:pPr>
            <w:r>
              <w:rPr>
                <w:rFonts w:hint="eastAsia" w:ascii="宋体" w:hAnsi="宋体" w:cs="宋体"/>
                <w:kern w:val="0"/>
                <w:szCs w:val="21"/>
              </w:rPr>
              <w:t>樘</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D9E27CA">
            <w:pPr>
              <w:widowControl/>
              <w:spacing w:line="240" w:lineRule="auto"/>
              <w:jc w:val="left"/>
              <w:textAlignment w:val="center"/>
              <w:rPr>
                <w:rFonts w:hint="eastAsia" w:ascii="宋体" w:hAnsi="宋体" w:eastAsia="宋体" w:cs="宋体"/>
                <w:b/>
                <w:bCs/>
                <w:szCs w:val="21"/>
                <w:lang w:eastAsia="zh-CN"/>
              </w:rPr>
            </w:pPr>
            <w:r>
              <w:rPr>
                <w:rFonts w:hint="eastAsia" w:ascii="宋体" w:hAnsi="宋体" w:eastAsia="宋体" w:cs="宋体"/>
                <w:b/>
                <w:bCs/>
                <w:szCs w:val="21"/>
                <w:lang w:eastAsia="zh-CN"/>
              </w:rPr>
              <w:drawing>
                <wp:inline distT="0" distB="0" distL="114300" distR="114300">
                  <wp:extent cx="1121410" cy="1871345"/>
                  <wp:effectExtent l="0" t="0" r="2540" b="1460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4"/>
                          <a:stretch>
                            <a:fillRect/>
                          </a:stretch>
                        </pic:blipFill>
                        <pic:spPr>
                          <a:xfrm>
                            <a:off x="0" y="0"/>
                            <a:ext cx="1121410" cy="1871345"/>
                          </a:xfrm>
                          <a:prstGeom prst="rect">
                            <a:avLst/>
                          </a:prstGeom>
                        </pic:spPr>
                      </pic:pic>
                    </a:graphicData>
                  </a:graphic>
                </wp:inline>
              </w:drawing>
            </w:r>
          </w:p>
        </w:tc>
      </w:tr>
      <w:tr w14:paraId="537F4413">
        <w:tblPrEx>
          <w:tblCellMar>
            <w:top w:w="0" w:type="dxa"/>
            <w:left w:w="108" w:type="dxa"/>
            <w:bottom w:w="0" w:type="dxa"/>
            <w:right w:w="108" w:type="dxa"/>
          </w:tblCellMar>
        </w:tblPrEx>
        <w:trPr>
          <w:trHeight w:val="1042"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14:paraId="7EBD5833">
            <w:pPr>
              <w:widowControl/>
              <w:spacing w:line="360" w:lineRule="exact"/>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合计</w:t>
            </w:r>
          </w:p>
        </w:tc>
        <w:tc>
          <w:tcPr>
            <w:tcW w:w="8392" w:type="dxa"/>
            <w:gridSpan w:val="6"/>
            <w:tcBorders>
              <w:top w:val="single" w:color="000000" w:sz="4" w:space="0"/>
              <w:left w:val="single" w:color="000000" w:sz="4" w:space="0"/>
              <w:bottom w:val="single" w:color="000000" w:sz="4" w:space="0"/>
              <w:right w:val="single" w:color="000000" w:sz="4" w:space="0"/>
            </w:tcBorders>
            <w:noWrap w:val="0"/>
            <w:vAlign w:val="center"/>
          </w:tcPr>
          <w:p w14:paraId="65252297">
            <w:pPr>
              <w:widowControl/>
              <w:spacing w:line="240" w:lineRule="auto"/>
              <w:jc w:val="left"/>
              <w:textAlignment w:val="center"/>
              <w:rPr>
                <w:rFonts w:hint="eastAsia" w:ascii="宋体" w:hAnsi="宋体" w:eastAsia="宋体" w:cs="宋体"/>
                <w:b/>
                <w:bCs/>
                <w:szCs w:val="21"/>
                <w:lang w:eastAsia="zh-CN"/>
              </w:rPr>
            </w:pPr>
          </w:p>
        </w:tc>
      </w:tr>
    </w:tbl>
    <w:p w14:paraId="09D74A6E">
      <w:pPr>
        <w:spacing w:line="360" w:lineRule="exact"/>
        <w:jc w:val="left"/>
        <w:rPr>
          <w:rFonts w:hint="eastAsia" w:ascii="宋体" w:hAnsi="宋体"/>
          <w:b/>
          <w:szCs w:val="21"/>
        </w:rPr>
      </w:pPr>
    </w:p>
    <w:p w14:paraId="6026C2CD">
      <w:pPr>
        <w:pStyle w:val="2"/>
        <w:rPr>
          <w:rFonts w:hint="eastAsia"/>
        </w:rPr>
      </w:pPr>
    </w:p>
    <w:p w14:paraId="440EC78E">
      <w:pPr>
        <w:spacing w:line="360" w:lineRule="exact"/>
        <w:jc w:val="left"/>
        <w:rPr>
          <w:rFonts w:ascii="宋体" w:hAnsi="宋体"/>
          <w:b/>
          <w:szCs w:val="21"/>
        </w:rPr>
      </w:pPr>
      <w:r>
        <w:rPr>
          <w:rFonts w:hint="eastAsia" w:ascii="宋体" w:hAnsi="宋体"/>
          <w:b/>
          <w:szCs w:val="21"/>
        </w:rPr>
        <w:t>三、安装要求</w:t>
      </w:r>
    </w:p>
    <w:p w14:paraId="4F98E265">
      <w:pPr>
        <w:spacing w:line="360" w:lineRule="exact"/>
        <w:ind w:firstLine="420" w:firstLineChars="200"/>
        <w:jc w:val="left"/>
        <w:rPr>
          <w:rFonts w:ascii="宋体" w:hAnsi="宋体"/>
          <w:szCs w:val="21"/>
        </w:rPr>
      </w:pPr>
      <w:r>
        <w:rPr>
          <w:rFonts w:hint="eastAsia" w:ascii="宋体" w:hAnsi="宋体"/>
          <w:szCs w:val="21"/>
        </w:rPr>
        <w:t>1、 防盗门外框需用膨胀螺丝安装牢固，不可出现门框松动、螺丝脱落、门面脱漆、锁舌与舌槽错位等情况。</w:t>
      </w:r>
    </w:p>
    <w:p w14:paraId="6137411F">
      <w:pPr>
        <w:spacing w:line="360" w:lineRule="exact"/>
        <w:ind w:firstLine="420" w:firstLineChars="200"/>
        <w:jc w:val="left"/>
        <w:rPr>
          <w:rFonts w:ascii="宋体" w:hAnsi="宋体"/>
          <w:szCs w:val="21"/>
        </w:rPr>
      </w:pPr>
      <w:r>
        <w:rPr>
          <w:rFonts w:hint="eastAsia" w:ascii="宋体" w:hAnsi="宋体"/>
          <w:szCs w:val="21"/>
        </w:rPr>
        <w:t>2、旧门拆下后需搬运至甲方指定位置放置。</w:t>
      </w:r>
    </w:p>
    <w:p w14:paraId="18448014">
      <w:pPr>
        <w:spacing w:line="36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、拆装后，墙面恢复原状，确保美观整洁。</w:t>
      </w:r>
    </w:p>
    <w:p w14:paraId="258257EB">
      <w:pPr>
        <w:pStyle w:val="2"/>
      </w:pPr>
    </w:p>
    <w:p w14:paraId="493473EB">
      <w:pPr>
        <w:pStyle w:val="4"/>
        <w:spacing w:before="75" w:beforeAutospacing="0" w:after="75" w:afterAutospacing="0"/>
        <w:rPr>
          <w:rFonts w:hint="eastAsia" w:ascii="宋体" w:hAnsi="宋体" w:eastAsia="宋体"/>
          <w:sz w:val="21"/>
          <w:szCs w:val="21"/>
          <w:lang w:eastAsia="zh-CN"/>
        </w:rPr>
      </w:pPr>
      <w:r>
        <w:rPr>
          <w:rStyle w:val="7"/>
          <w:rFonts w:hint="eastAsia" w:ascii="宋体" w:hAnsi="宋体" w:eastAsia="宋体"/>
          <w:sz w:val="21"/>
          <w:szCs w:val="21"/>
          <w:lang w:val="en-US" w:eastAsia="zh-CN"/>
        </w:rPr>
        <w:t>四</w:t>
      </w:r>
      <w:r>
        <w:rPr>
          <w:rStyle w:val="7"/>
          <w:rFonts w:hint="eastAsia" w:ascii="宋体" w:hAnsi="宋体" w:eastAsia="宋体"/>
          <w:sz w:val="21"/>
          <w:szCs w:val="21"/>
        </w:rPr>
        <w:t>、申请人的资格要求</w:t>
      </w:r>
      <w:r>
        <w:rPr>
          <w:rStyle w:val="7"/>
          <w:rFonts w:hint="eastAsia" w:ascii="宋体" w:hAnsi="宋体" w:eastAsia="宋体"/>
          <w:sz w:val="21"/>
          <w:szCs w:val="21"/>
          <w:lang w:eastAsia="zh-CN"/>
        </w:rPr>
        <w:t>（</w:t>
      </w:r>
      <w:r>
        <w:rPr>
          <w:rStyle w:val="7"/>
          <w:rFonts w:hint="eastAsia" w:ascii="宋体" w:hAnsi="宋体" w:eastAsia="宋体"/>
          <w:sz w:val="21"/>
          <w:szCs w:val="21"/>
          <w:lang w:val="en-US" w:eastAsia="zh-CN"/>
        </w:rPr>
        <w:t>报名时进行审核</w:t>
      </w:r>
      <w:r>
        <w:rPr>
          <w:rStyle w:val="7"/>
          <w:rFonts w:hint="eastAsia" w:ascii="宋体" w:hAnsi="宋体" w:eastAsia="宋体"/>
          <w:sz w:val="21"/>
          <w:szCs w:val="21"/>
          <w:lang w:eastAsia="zh-CN"/>
        </w:rPr>
        <w:t>）</w:t>
      </w:r>
    </w:p>
    <w:p w14:paraId="43CECAA7">
      <w:pPr>
        <w:pStyle w:val="4"/>
        <w:spacing w:before="75" w:beforeAutospacing="0" w:after="75" w:afterAutospacing="0"/>
        <w:rPr>
          <w:rFonts w:ascii="宋体" w:hAnsi="宋体" w:eastAsia="宋体"/>
          <w:sz w:val="21"/>
          <w:szCs w:val="21"/>
        </w:rPr>
      </w:pPr>
      <w:r>
        <w:rPr>
          <w:rFonts w:hint="eastAsia" w:ascii="宋体" w:hAnsi="宋体" w:eastAsia="宋体"/>
          <w:sz w:val="21"/>
          <w:szCs w:val="21"/>
        </w:rPr>
        <w:t>（1）</w:t>
      </w:r>
      <w:r>
        <w:rPr>
          <w:rFonts w:hint="eastAsia" w:ascii="宋体" w:hAnsi="宋体" w:eastAsia="宋体" w:cs="宋体"/>
          <w:b/>
          <w:bCs/>
          <w:sz w:val="24"/>
          <w:szCs w:val="24"/>
        </w:rPr>
        <w:t>营业执照</w:t>
      </w:r>
      <w:r>
        <w:rPr>
          <w:rFonts w:hint="eastAsia" w:ascii="宋体" w:hAnsi="宋体" w:eastAsia="宋体" w:cs="宋体"/>
          <w:b/>
          <w:bCs/>
          <w:sz w:val="24"/>
          <w:szCs w:val="24"/>
          <w:lang w:val="en-US" w:eastAsia="zh-CN"/>
        </w:rPr>
        <w:t>经营范围含防盗门</w:t>
      </w:r>
      <w:r>
        <w:rPr>
          <w:rFonts w:hint="eastAsia" w:ascii="宋体" w:hAnsi="宋体" w:eastAsia="宋体"/>
          <w:sz w:val="21"/>
          <w:szCs w:val="21"/>
          <w:lang w:val="en-US" w:eastAsia="zh-CN"/>
        </w:rPr>
        <w:t>，</w:t>
      </w:r>
      <w:r>
        <w:rPr>
          <w:rFonts w:hint="eastAsia" w:ascii="宋体" w:hAnsi="宋体" w:eastAsia="宋体"/>
          <w:sz w:val="21"/>
          <w:szCs w:val="21"/>
        </w:rPr>
        <w:t>具有独立承担民事责任的能力（提供法人或者其他组织的营业执照，自然人的身份证）；</w:t>
      </w:r>
      <w:bookmarkStart w:id="0" w:name="_GoBack"/>
      <w:bookmarkEnd w:id="0"/>
    </w:p>
    <w:p w14:paraId="179BFDB8">
      <w:pPr>
        <w:pStyle w:val="4"/>
        <w:spacing w:before="75" w:beforeAutospacing="0" w:after="75" w:afterAutospacing="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2</w:t>
      </w:r>
      <w:r>
        <w:rPr>
          <w:rFonts w:hint="eastAsia" w:ascii="宋体" w:hAnsi="宋体" w:eastAsia="宋体"/>
          <w:sz w:val="21"/>
          <w:szCs w:val="21"/>
        </w:rPr>
        <w:t>）具有履行合同所必需的设备和专业技术能力（根据项目需求提供履行合同所必需的设备和专业技术能力的承诺书）（格式自拟））；</w:t>
      </w:r>
    </w:p>
    <w:p w14:paraId="1D4603CE">
      <w:pPr>
        <w:pStyle w:val="4"/>
        <w:spacing w:before="75" w:beforeAutospacing="0" w:after="75" w:afterAutospacing="0"/>
        <w:rPr>
          <w:rFonts w:hint="eastAsia" w:ascii="宋体" w:hAnsi="宋体" w:eastAsia="宋体"/>
          <w:sz w:val="21"/>
          <w:szCs w:val="21"/>
        </w:rPr>
      </w:pPr>
    </w:p>
    <w:p w14:paraId="375F6267">
      <w:pPr>
        <w:spacing w:line="360" w:lineRule="exact"/>
        <w:jc w:val="left"/>
        <w:rPr>
          <w:rFonts w:ascii="宋体" w:hAnsi="宋体"/>
          <w:b/>
          <w:szCs w:val="21"/>
        </w:rPr>
      </w:pPr>
      <w:r>
        <w:rPr>
          <w:rFonts w:hint="eastAsia" w:ascii="宋体" w:hAnsi="宋体"/>
          <w:b/>
          <w:szCs w:val="21"/>
          <w:lang w:val="en-US" w:eastAsia="zh-CN"/>
        </w:rPr>
        <w:t>五</w:t>
      </w:r>
      <w:r>
        <w:rPr>
          <w:rFonts w:ascii="宋体" w:hAnsi="宋体"/>
          <w:b/>
          <w:szCs w:val="21"/>
        </w:rPr>
        <w:t>、</w:t>
      </w:r>
      <w:r>
        <w:rPr>
          <w:rFonts w:hint="eastAsia" w:ascii="宋体" w:hAnsi="宋体"/>
          <w:b/>
          <w:szCs w:val="21"/>
        </w:rPr>
        <w:t>投标报价要求</w:t>
      </w:r>
    </w:p>
    <w:p w14:paraId="015D9FBF">
      <w:pPr>
        <w:spacing w:line="360" w:lineRule="exact"/>
        <w:ind w:firstLine="420" w:firstLineChars="200"/>
        <w:jc w:val="left"/>
        <w:rPr>
          <w:rFonts w:hint="eastAsia" w:ascii="宋体" w:hAnsi="宋体"/>
          <w:szCs w:val="21"/>
        </w:rPr>
      </w:pPr>
      <w:r>
        <w:rPr>
          <w:rFonts w:hint="eastAsia" w:ascii="宋体" w:hAnsi="宋体"/>
          <w:szCs w:val="21"/>
        </w:rPr>
        <w:t>本项目投标报价为全费用固定单价报价包括但不限于：招标范围内按照相关标准、规范及有关技术文件、技术要求进行工程安装、拆除、辅材、材料运输、上下力费、税金、抽检的费用、办理验收直至取得验收合格证明文件并移交给业主等相关全部费用，政策性文件规定的各项应有费用及招标文件明示或暗示的所有一切风险、责任和义务的费用，各供应商应充分考虑各类市场风险和政策性调整确定风险系数计入报价，今后不作调整。</w:t>
      </w:r>
    </w:p>
    <w:p w14:paraId="584BB194">
      <w:pPr>
        <w:pStyle w:val="2"/>
        <w:rPr>
          <w:rFonts w:hint="eastAsia"/>
        </w:rPr>
      </w:pPr>
    </w:p>
    <w:p w14:paraId="4E2EC453">
      <w:pPr>
        <w:spacing w:line="360" w:lineRule="exact"/>
        <w:jc w:val="left"/>
        <w:rPr>
          <w:rFonts w:ascii="宋体" w:hAnsi="宋体"/>
          <w:b/>
          <w:szCs w:val="21"/>
        </w:rPr>
      </w:pPr>
      <w:r>
        <w:rPr>
          <w:rFonts w:hint="eastAsia" w:ascii="宋体" w:hAnsi="宋体"/>
          <w:b/>
          <w:szCs w:val="21"/>
          <w:lang w:val="en-US" w:eastAsia="zh-CN"/>
        </w:rPr>
        <w:t>六</w:t>
      </w:r>
      <w:r>
        <w:rPr>
          <w:rFonts w:hint="eastAsia" w:ascii="宋体" w:hAnsi="宋体"/>
          <w:b/>
          <w:szCs w:val="21"/>
        </w:rPr>
        <w:t>、其它要求</w:t>
      </w:r>
    </w:p>
    <w:p w14:paraId="4682A1BF">
      <w:pPr>
        <w:spacing w:line="360" w:lineRule="exact"/>
        <w:ind w:firstLine="420" w:firstLineChars="200"/>
        <w:jc w:val="left"/>
        <w:rPr>
          <w:rFonts w:ascii="宋体" w:hAnsi="宋体"/>
          <w:szCs w:val="21"/>
        </w:rPr>
      </w:pPr>
      <w:r>
        <w:rPr>
          <w:rFonts w:hint="eastAsia" w:ascii="宋体" w:hAnsi="宋体"/>
          <w:szCs w:val="21"/>
        </w:rPr>
        <w:t>1、施工方因质量问题或供货时间不能满足采购人要求，采购人有权终止合同，因此给采购人造成的损失由施工方承担；</w:t>
      </w:r>
    </w:p>
    <w:p w14:paraId="51DF7F8A">
      <w:pPr>
        <w:spacing w:line="360" w:lineRule="exact"/>
        <w:ind w:firstLine="420" w:firstLineChars="200"/>
        <w:jc w:val="left"/>
        <w:rPr>
          <w:rFonts w:ascii="宋体" w:hAnsi="宋体"/>
          <w:szCs w:val="21"/>
        </w:rPr>
      </w:pPr>
      <w:r>
        <w:rPr>
          <w:rFonts w:hint="eastAsia" w:ascii="宋体" w:hAnsi="宋体"/>
          <w:szCs w:val="21"/>
        </w:rPr>
        <w:t>2、施工方必须服从招标方的管理，认真做好配合成品保护和施工场地清洁工作，安装中不得损坏现有建筑和教室内的其它物品；</w:t>
      </w:r>
    </w:p>
    <w:p w14:paraId="71B9E407">
      <w:pPr>
        <w:spacing w:line="360" w:lineRule="exact"/>
        <w:ind w:firstLine="420" w:firstLineChars="200"/>
        <w:jc w:val="left"/>
        <w:rPr>
          <w:rFonts w:ascii="宋体" w:hAnsi="宋体"/>
          <w:szCs w:val="21"/>
        </w:rPr>
      </w:pPr>
      <w:r>
        <w:rPr>
          <w:rFonts w:hint="eastAsia" w:ascii="宋体" w:hAnsi="宋体"/>
          <w:szCs w:val="21"/>
        </w:rPr>
        <w:t>3、施工方必须提供产品检验合格的相关手续，产品进场后按规定进行验收，必要时可送相关专业部门进行检测，检测不合格或与要求不符的施工方必须无条件退货，并赔偿采购人相关损失；</w:t>
      </w:r>
    </w:p>
    <w:p w14:paraId="2BC870E0">
      <w:pPr>
        <w:spacing w:line="360" w:lineRule="exact"/>
        <w:ind w:firstLine="420" w:firstLineChars="200"/>
        <w:jc w:val="left"/>
        <w:rPr>
          <w:rFonts w:ascii="宋体" w:hAnsi="宋体"/>
          <w:szCs w:val="21"/>
        </w:rPr>
      </w:pPr>
      <w:r>
        <w:rPr>
          <w:rFonts w:ascii="宋体" w:hAnsi="宋体"/>
          <w:szCs w:val="21"/>
        </w:rPr>
        <w:t>4、</w:t>
      </w:r>
      <w:r>
        <w:rPr>
          <w:rFonts w:hint="eastAsia" w:ascii="宋体" w:hAnsi="宋体"/>
          <w:szCs w:val="21"/>
        </w:rPr>
        <w:t>施工方在加工、运输、安装等过程中，必须严格执行操作规程和相关的规定，若发生工伤或其它责任事故，责任由施工方负责，与采购人无关；</w:t>
      </w:r>
    </w:p>
    <w:p w14:paraId="27CC8919">
      <w:pPr>
        <w:spacing w:line="360" w:lineRule="exact"/>
        <w:ind w:firstLine="420" w:firstLineChars="200"/>
        <w:jc w:val="left"/>
        <w:rPr>
          <w:rFonts w:ascii="宋体" w:hAnsi="宋体"/>
          <w:szCs w:val="21"/>
        </w:rPr>
      </w:pPr>
      <w:r>
        <w:rPr>
          <w:rFonts w:hint="eastAsia" w:ascii="宋体" w:hAnsi="宋体"/>
          <w:szCs w:val="21"/>
        </w:rPr>
        <w:t>5、施工方要严格履行承诺，做好售后服务工作，在接到使用部门报修电话后24小时内上门维修，质保期内每年主动回访二次以上，提供免费服务；质保期结束；如存在质量问题，施工方必须无条件更换。</w:t>
      </w:r>
    </w:p>
    <w:p w14:paraId="6FC1AA0F">
      <w:pPr>
        <w:spacing w:line="36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、保修期：承包人应对本项目提供三年以上的免费质保，项目验收后三年内发生的所有故障，施工方无条件提供维修、更换（自竣工交付使用之日起算）。</w:t>
      </w:r>
    </w:p>
    <w:p w14:paraId="23E7A46B">
      <w:pPr>
        <w:spacing w:line="360" w:lineRule="exact"/>
        <w:ind w:firstLine="420" w:firstLineChars="200"/>
        <w:jc w:val="left"/>
        <w:rPr>
          <w:rFonts w:ascii="宋体" w:hAnsi="宋体"/>
          <w:szCs w:val="21"/>
        </w:rPr>
      </w:pPr>
      <w:r>
        <w:rPr>
          <w:rFonts w:ascii="宋体" w:hAnsi="宋体"/>
          <w:szCs w:val="21"/>
        </w:rPr>
        <w:t>7</w:t>
      </w:r>
      <w:r>
        <w:rPr>
          <w:rFonts w:hint="eastAsia" w:ascii="宋体" w:hAnsi="宋体"/>
          <w:szCs w:val="21"/>
        </w:rPr>
        <w:t>、施工方应提供产品保修内服务和响应时间的具体承诺和保证。</w:t>
      </w:r>
    </w:p>
    <w:p w14:paraId="341CB520">
      <w:pPr>
        <w:spacing w:line="360" w:lineRule="exact"/>
        <w:ind w:firstLine="420" w:firstLineChars="200"/>
        <w:jc w:val="left"/>
        <w:rPr>
          <w:rFonts w:ascii="宋体" w:hAnsi="宋体"/>
          <w:szCs w:val="21"/>
        </w:rPr>
      </w:pPr>
      <w:r>
        <w:rPr>
          <w:rFonts w:ascii="宋体" w:hAnsi="宋体"/>
          <w:szCs w:val="21"/>
        </w:rPr>
        <w:t>8</w:t>
      </w:r>
      <w:r>
        <w:rPr>
          <w:rFonts w:hint="eastAsia" w:ascii="宋体" w:hAnsi="宋体"/>
          <w:szCs w:val="21"/>
        </w:rPr>
        <w:t>、结算方式：按实际套数结算，整套单价不变。</w:t>
      </w:r>
    </w:p>
    <w:p w14:paraId="2CB4BE6E">
      <w:pPr>
        <w:pStyle w:val="2"/>
        <w:rPr>
          <w:rFonts w:hint="eastAsia"/>
        </w:rPr>
      </w:pPr>
    </w:p>
    <w:p w14:paraId="0943EA76">
      <w:pPr>
        <w:spacing w:line="360" w:lineRule="exact"/>
        <w:jc w:val="left"/>
        <w:rPr>
          <w:rFonts w:hint="eastAsia" w:ascii="宋体" w:hAnsi="宋体" w:eastAsia="宋体"/>
          <w:b/>
          <w:szCs w:val="21"/>
          <w:lang w:eastAsia="zh-CN"/>
        </w:rPr>
      </w:pPr>
      <w:r>
        <w:rPr>
          <w:rFonts w:hint="eastAsia" w:ascii="宋体" w:hAnsi="宋体"/>
          <w:b/>
          <w:szCs w:val="21"/>
          <w:lang w:val="en-US" w:eastAsia="zh-CN"/>
        </w:rPr>
        <w:t>七</w:t>
      </w:r>
      <w:r>
        <w:rPr>
          <w:rFonts w:hint="eastAsia" w:ascii="宋体" w:hAnsi="宋体"/>
          <w:b/>
          <w:szCs w:val="21"/>
        </w:rPr>
        <w:t>、样品要求</w:t>
      </w:r>
      <w:r>
        <w:rPr>
          <w:rFonts w:hint="eastAsia" w:ascii="宋体" w:hAnsi="宋体"/>
          <w:b/>
          <w:szCs w:val="21"/>
          <w:lang w:eastAsia="zh-CN"/>
        </w:rPr>
        <w:t>（</w:t>
      </w:r>
      <w:r>
        <w:rPr>
          <w:rFonts w:hint="eastAsia" w:ascii="宋体" w:hAnsi="宋体"/>
          <w:b/>
          <w:szCs w:val="21"/>
          <w:lang w:val="en-US" w:eastAsia="zh-CN"/>
        </w:rPr>
        <w:t>报名时提供</w:t>
      </w:r>
      <w:r>
        <w:rPr>
          <w:rFonts w:hint="eastAsia" w:ascii="宋体" w:hAnsi="宋体"/>
          <w:b/>
          <w:szCs w:val="21"/>
          <w:lang w:eastAsia="zh-CN"/>
        </w:rPr>
        <w:t>）</w:t>
      </w:r>
    </w:p>
    <w:p w14:paraId="4B504E94">
      <w:pPr>
        <w:spacing w:line="360" w:lineRule="auto"/>
        <w:rPr>
          <w:rFonts w:hint="eastAsia" w:ascii="宋体" w:hAnsi="宋体"/>
          <w:szCs w:val="21"/>
        </w:rPr>
      </w:pPr>
      <w:r>
        <w:rPr>
          <w:rFonts w:hint="eastAsia" w:ascii="宋体" w:hAnsi="宋体"/>
          <w:szCs w:val="21"/>
        </w:rPr>
        <w:t>（1）、提供样品：门锁、</w:t>
      </w:r>
      <w:r>
        <w:rPr>
          <w:rFonts w:ascii="宋体" w:hAnsi="宋体"/>
          <w:szCs w:val="21"/>
        </w:rPr>
        <w:t>铰链、</w:t>
      </w:r>
      <w:r>
        <w:rPr>
          <w:rFonts w:hint="eastAsia" w:ascii="宋体" w:hAnsi="宋体"/>
          <w:szCs w:val="21"/>
        </w:rPr>
        <w:t>门把手、门框材质样品；</w:t>
      </w:r>
    </w:p>
    <w:p w14:paraId="44A5B423">
      <w:pPr>
        <w:spacing w:line="360" w:lineRule="auto"/>
        <w:rPr>
          <w:rFonts w:hint="eastAsia" w:ascii="宋体" w:hAnsi="宋体"/>
          <w:szCs w:val="21"/>
        </w:rPr>
      </w:pPr>
      <w:r>
        <w:rPr>
          <w:rFonts w:hint="eastAsia" w:ascii="宋体" w:hAnsi="宋体"/>
          <w:szCs w:val="21"/>
        </w:rPr>
        <w:t>（2）、投标人须按照招标人要求提供样品，样品上标注投标人名称；</w:t>
      </w:r>
    </w:p>
    <w:p w14:paraId="705702E7">
      <w:pPr>
        <w:spacing w:line="360" w:lineRule="auto"/>
        <w:rPr>
          <w:rFonts w:hint="eastAsia" w:ascii="宋体" w:hAnsi="宋体"/>
          <w:szCs w:val="21"/>
        </w:rPr>
      </w:pPr>
      <w:r>
        <w:rPr>
          <w:rFonts w:hint="eastAsia" w:ascii="宋体" w:hAnsi="宋体"/>
          <w:szCs w:val="21"/>
        </w:rPr>
        <w:t>（3）、所投样品</w:t>
      </w:r>
      <w:r>
        <w:rPr>
          <w:rFonts w:hint="eastAsia" w:ascii="宋体" w:hAnsi="宋体"/>
          <w:szCs w:val="21"/>
          <w:lang w:val="en-US" w:eastAsia="zh-CN"/>
        </w:rPr>
        <w:t>及密封报价</w:t>
      </w:r>
      <w:r>
        <w:rPr>
          <w:rFonts w:hint="eastAsia" w:ascii="宋体" w:hAnsi="宋体"/>
          <w:szCs w:val="21"/>
        </w:rPr>
        <w:t>于投标截止时间前一同递交；</w:t>
      </w:r>
    </w:p>
    <w:p w14:paraId="28C3DBAD">
      <w:pPr>
        <w:spacing w:line="360" w:lineRule="auto"/>
        <w:rPr>
          <w:rFonts w:hint="eastAsia" w:ascii="宋体" w:hAnsi="宋体"/>
          <w:szCs w:val="21"/>
        </w:rPr>
      </w:pPr>
      <w:r>
        <w:rPr>
          <w:rFonts w:hint="eastAsia" w:ascii="宋体" w:hAnsi="宋体"/>
          <w:szCs w:val="21"/>
        </w:rPr>
        <w:t>（4）、送样产品必须标明产地、品牌；</w:t>
      </w:r>
    </w:p>
    <w:p w14:paraId="097DCD95">
      <w:pPr>
        <w:spacing w:line="360" w:lineRule="auto"/>
        <w:rPr>
          <w:rFonts w:ascii="宋体" w:hAnsi="宋体"/>
          <w:szCs w:val="21"/>
        </w:rPr>
      </w:pPr>
      <w:r>
        <w:rPr>
          <w:rFonts w:hint="eastAsia" w:ascii="宋体" w:hAnsi="宋体"/>
          <w:szCs w:val="21"/>
        </w:rPr>
        <w:t>（5）、评标结束后，不中标的供应商样品将在评标结束后退还。招标人将对中标单位的样品进行封样，中标单位供货时按封样样品进行供货及验收。</w:t>
      </w:r>
    </w:p>
    <w:p w14:paraId="4A0897E2">
      <w:pPr>
        <w:keepNext/>
        <w:keepLines/>
        <w:spacing w:before="120" w:after="120" w:line="360" w:lineRule="exact"/>
        <w:outlineLvl w:val="3"/>
        <w:rPr>
          <w:rFonts w:ascii="宋体" w:hAnsi="宋体"/>
          <w:b/>
          <w:szCs w:val="21"/>
        </w:rPr>
      </w:pPr>
      <w:r>
        <w:rPr>
          <w:rFonts w:hint="eastAsia" w:ascii="宋体" w:hAnsi="宋体"/>
          <w:b/>
          <w:szCs w:val="21"/>
          <w:lang w:val="en-US" w:eastAsia="zh-CN"/>
        </w:rPr>
        <w:t>八、</w:t>
      </w:r>
      <w:r>
        <w:rPr>
          <w:rFonts w:ascii="宋体" w:hAnsi="宋体"/>
          <w:b/>
          <w:szCs w:val="21"/>
        </w:rPr>
        <w:t>甲方付款期限与方式</w:t>
      </w:r>
    </w:p>
    <w:p w14:paraId="66D105F4">
      <w:pPr>
        <w:spacing w:line="36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）工程结束经验收合格，付工程款至合同总价的</w:t>
      </w:r>
      <w:r>
        <w:rPr>
          <w:rFonts w:hint="eastAsia" w:ascii="宋体" w:hAnsi="宋体"/>
          <w:szCs w:val="21"/>
          <w:lang w:val="en-US" w:eastAsia="zh-CN"/>
        </w:rPr>
        <w:t>97</w:t>
      </w:r>
      <w:r>
        <w:rPr>
          <w:rFonts w:hint="eastAsia" w:ascii="宋体" w:hAnsi="宋体"/>
          <w:szCs w:val="21"/>
        </w:rPr>
        <w:t>%。</w:t>
      </w:r>
    </w:p>
    <w:p w14:paraId="1374E63F">
      <w:pPr>
        <w:spacing w:line="36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）经甲方使用，待</w:t>
      </w:r>
      <w:r>
        <w:rPr>
          <w:rFonts w:hint="eastAsia" w:ascii="宋体" w:hAnsi="宋体"/>
          <w:szCs w:val="21"/>
          <w:lang w:val="en-US" w:eastAsia="zh-CN"/>
        </w:rPr>
        <w:t>三年</w:t>
      </w:r>
      <w:r>
        <w:rPr>
          <w:rFonts w:hint="eastAsia" w:ascii="宋体" w:hAnsi="宋体"/>
          <w:szCs w:val="21"/>
        </w:rPr>
        <w:t>质保期期满后，无质量问题付工程余款3%。</w:t>
      </w:r>
    </w:p>
    <w:p w14:paraId="52051393">
      <w:pPr>
        <w:spacing w:line="360" w:lineRule="auto"/>
        <w:ind w:firstLine="514" w:firstLineChars="245"/>
        <w:rPr>
          <w:rFonts w:ascii="宋体" w:hAnsi="宋体"/>
          <w:szCs w:val="21"/>
        </w:rPr>
      </w:pPr>
      <w:r>
        <w:rPr>
          <w:rFonts w:hint="eastAsia" w:ascii="宋体" w:hAnsi="宋体"/>
          <w:szCs w:val="21"/>
        </w:rPr>
        <w:t>注意事项：</w:t>
      </w:r>
    </w:p>
    <w:p w14:paraId="1016F145">
      <w:pPr>
        <w:widowControl/>
        <w:tabs>
          <w:tab w:val="left" w:pos="987"/>
        </w:tabs>
        <w:spacing w:line="360" w:lineRule="exact"/>
        <w:ind w:firstLine="630" w:firstLineChars="300"/>
        <w:rPr>
          <w:rFonts w:ascii="宋体" w:hAnsi="宋体"/>
          <w:szCs w:val="21"/>
        </w:rPr>
      </w:pPr>
      <w:r>
        <w:rPr>
          <w:rFonts w:hint="eastAsia" w:ascii="宋体" w:hAnsi="宋体"/>
          <w:szCs w:val="21"/>
        </w:rPr>
        <w:t>1、以上结算方式付款的地点，均为甲方开户银行。履行的方式为银行转帐或汇票。</w:t>
      </w:r>
    </w:p>
    <w:p w14:paraId="16FEE666">
      <w:pPr>
        <w:widowControl/>
        <w:tabs>
          <w:tab w:val="left" w:pos="987"/>
        </w:tabs>
        <w:spacing w:line="360" w:lineRule="exact"/>
        <w:ind w:firstLine="630" w:firstLineChars="300"/>
        <w:rPr>
          <w:rFonts w:ascii="宋体" w:hAnsi="宋体"/>
          <w:szCs w:val="21"/>
        </w:rPr>
      </w:pPr>
      <w:r>
        <w:rPr>
          <w:rFonts w:hint="eastAsia" w:ascii="宋体" w:hAnsi="宋体"/>
          <w:szCs w:val="21"/>
        </w:rPr>
        <w:t>2、如买卖双方另有约定的付款方式，按约定的条款执行。</w:t>
      </w:r>
    </w:p>
    <w:p w14:paraId="5ED8D239">
      <w:pPr>
        <w:pStyle w:val="2"/>
      </w:pPr>
    </w:p>
    <w:p w14:paraId="0E170024">
      <w:pPr>
        <w:rPr>
          <w:rFonts w:hint="default" w:eastAsia="宋体"/>
          <w:b/>
          <w:bCs/>
          <w:lang w:val="en-US" w:eastAsia="zh-CN"/>
        </w:rPr>
      </w:pPr>
      <w:r>
        <w:rPr>
          <w:rFonts w:hint="eastAsia"/>
          <w:b/>
          <w:bCs/>
          <w:lang w:val="en-US" w:eastAsia="zh-CN"/>
        </w:rPr>
        <w:t>九、有意向单位报价，</w:t>
      </w:r>
      <w:r>
        <w:rPr>
          <w:rFonts w:hint="eastAsia"/>
          <w:b/>
          <w:bCs/>
        </w:rPr>
        <w:t>密封盖章送后勤保障中心东办111办公室，联系电话52724099  截止时间：202</w:t>
      </w:r>
      <w:r>
        <w:rPr>
          <w:rFonts w:hint="eastAsia"/>
          <w:b/>
          <w:bCs/>
          <w:lang w:val="en-US" w:eastAsia="zh-CN"/>
        </w:rPr>
        <w:t>5</w:t>
      </w:r>
      <w:r>
        <w:rPr>
          <w:rFonts w:hint="eastAsia"/>
          <w:b/>
          <w:bCs/>
        </w:rPr>
        <w:t>年</w:t>
      </w:r>
      <w:r>
        <w:rPr>
          <w:rFonts w:hint="eastAsia"/>
          <w:b/>
          <w:bCs/>
          <w:lang w:val="en-US" w:eastAsia="zh-CN"/>
        </w:rPr>
        <w:t>7</w:t>
      </w:r>
      <w:r>
        <w:rPr>
          <w:rFonts w:hint="eastAsia"/>
          <w:b/>
          <w:bCs/>
        </w:rPr>
        <w:t>月</w:t>
      </w:r>
      <w:r>
        <w:rPr>
          <w:rFonts w:hint="eastAsia"/>
          <w:b/>
          <w:bCs/>
          <w:lang w:val="en-US" w:eastAsia="zh-CN"/>
        </w:rPr>
        <w:t>7</w:t>
      </w:r>
      <w:r>
        <w:rPr>
          <w:rFonts w:hint="eastAsia"/>
          <w:b/>
          <w:bCs/>
        </w:rPr>
        <w:t>日下午17点</w:t>
      </w:r>
      <w:r>
        <w:rPr>
          <w:rFonts w:hint="eastAsia"/>
          <w:b/>
          <w:bCs/>
          <w:lang w:eastAsia="zh-CN"/>
        </w:rPr>
        <w:t>，</w:t>
      </w:r>
      <w:r>
        <w:rPr>
          <w:rFonts w:hint="eastAsia"/>
          <w:b/>
          <w:bCs/>
          <w:lang w:val="en-US" w:eastAsia="zh-CN"/>
        </w:rPr>
        <w:t>开标时间另定（投标人不需要到现场）。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ZDAzMDMyOTQ1MDE0ODkwOTViNjEwOTNlYjRiYjEifQ=="/>
  </w:docVars>
  <w:rsids>
    <w:rsidRoot w:val="00000000"/>
    <w:rsid w:val="001F3ADA"/>
    <w:rsid w:val="00332F5F"/>
    <w:rsid w:val="00496DA9"/>
    <w:rsid w:val="0067722F"/>
    <w:rsid w:val="00BF706B"/>
    <w:rsid w:val="00C14B91"/>
    <w:rsid w:val="00EA233A"/>
    <w:rsid w:val="01057174"/>
    <w:rsid w:val="011473B7"/>
    <w:rsid w:val="016025FC"/>
    <w:rsid w:val="01A544B3"/>
    <w:rsid w:val="01EC3E90"/>
    <w:rsid w:val="01EE19B6"/>
    <w:rsid w:val="01FB0577"/>
    <w:rsid w:val="023D66C9"/>
    <w:rsid w:val="026E0D49"/>
    <w:rsid w:val="027D2D3A"/>
    <w:rsid w:val="028642E4"/>
    <w:rsid w:val="029D518A"/>
    <w:rsid w:val="02B04EBD"/>
    <w:rsid w:val="02B7624C"/>
    <w:rsid w:val="03802AE2"/>
    <w:rsid w:val="03C350C4"/>
    <w:rsid w:val="03C50E3C"/>
    <w:rsid w:val="04180F6C"/>
    <w:rsid w:val="04610B65"/>
    <w:rsid w:val="0495080F"/>
    <w:rsid w:val="04A53D4C"/>
    <w:rsid w:val="04DD3F64"/>
    <w:rsid w:val="056D178C"/>
    <w:rsid w:val="077E558A"/>
    <w:rsid w:val="079C1EB4"/>
    <w:rsid w:val="079D2C10"/>
    <w:rsid w:val="07A34FF1"/>
    <w:rsid w:val="07FE491D"/>
    <w:rsid w:val="08387E2F"/>
    <w:rsid w:val="09045F63"/>
    <w:rsid w:val="093A1985"/>
    <w:rsid w:val="095A3DD5"/>
    <w:rsid w:val="09AB2883"/>
    <w:rsid w:val="09C6146A"/>
    <w:rsid w:val="09ED3944"/>
    <w:rsid w:val="09FB55B8"/>
    <w:rsid w:val="0A6767AA"/>
    <w:rsid w:val="0AB539B9"/>
    <w:rsid w:val="0B27418B"/>
    <w:rsid w:val="0B3A3EBE"/>
    <w:rsid w:val="0B7C44D7"/>
    <w:rsid w:val="0BD87233"/>
    <w:rsid w:val="0BFA364D"/>
    <w:rsid w:val="0C50326D"/>
    <w:rsid w:val="0D0E5602"/>
    <w:rsid w:val="0DC67C8B"/>
    <w:rsid w:val="0E0D58BA"/>
    <w:rsid w:val="0E323572"/>
    <w:rsid w:val="0E7A7AB2"/>
    <w:rsid w:val="0E8611C8"/>
    <w:rsid w:val="0E941B37"/>
    <w:rsid w:val="0F220EF1"/>
    <w:rsid w:val="0F601A19"/>
    <w:rsid w:val="0F7A6F7F"/>
    <w:rsid w:val="0F87344A"/>
    <w:rsid w:val="0FE34B24"/>
    <w:rsid w:val="0FE443F8"/>
    <w:rsid w:val="10284C2D"/>
    <w:rsid w:val="105C6685"/>
    <w:rsid w:val="107240FA"/>
    <w:rsid w:val="10953945"/>
    <w:rsid w:val="10E36DA6"/>
    <w:rsid w:val="112D7194"/>
    <w:rsid w:val="114333A1"/>
    <w:rsid w:val="118916FB"/>
    <w:rsid w:val="11BC387F"/>
    <w:rsid w:val="12105979"/>
    <w:rsid w:val="123D6042"/>
    <w:rsid w:val="126A32DB"/>
    <w:rsid w:val="12771554"/>
    <w:rsid w:val="128A572B"/>
    <w:rsid w:val="12EA61CA"/>
    <w:rsid w:val="13441D7E"/>
    <w:rsid w:val="13F07810"/>
    <w:rsid w:val="14107EB2"/>
    <w:rsid w:val="145C6C53"/>
    <w:rsid w:val="14740441"/>
    <w:rsid w:val="14A81E98"/>
    <w:rsid w:val="1534372C"/>
    <w:rsid w:val="153B4ABB"/>
    <w:rsid w:val="156D6C3E"/>
    <w:rsid w:val="16161084"/>
    <w:rsid w:val="16551BAC"/>
    <w:rsid w:val="1666200B"/>
    <w:rsid w:val="166B7621"/>
    <w:rsid w:val="167F30CD"/>
    <w:rsid w:val="171657DF"/>
    <w:rsid w:val="17626C76"/>
    <w:rsid w:val="1767603B"/>
    <w:rsid w:val="17EF7DDE"/>
    <w:rsid w:val="18383533"/>
    <w:rsid w:val="18455C50"/>
    <w:rsid w:val="18694035"/>
    <w:rsid w:val="188E5849"/>
    <w:rsid w:val="18CD45C3"/>
    <w:rsid w:val="19355CC5"/>
    <w:rsid w:val="195919B3"/>
    <w:rsid w:val="19C92FDD"/>
    <w:rsid w:val="19E25E4D"/>
    <w:rsid w:val="19FD2C86"/>
    <w:rsid w:val="19FE07AD"/>
    <w:rsid w:val="19FF69FF"/>
    <w:rsid w:val="1A11228E"/>
    <w:rsid w:val="1A491A28"/>
    <w:rsid w:val="1ACB4B33"/>
    <w:rsid w:val="1BC05D1A"/>
    <w:rsid w:val="1BDE43F2"/>
    <w:rsid w:val="1BE51C24"/>
    <w:rsid w:val="1BF9747E"/>
    <w:rsid w:val="1C273FEB"/>
    <w:rsid w:val="1C6E5776"/>
    <w:rsid w:val="1C856F63"/>
    <w:rsid w:val="1CAE64BA"/>
    <w:rsid w:val="1CB87339"/>
    <w:rsid w:val="1CBF06C7"/>
    <w:rsid w:val="1CCE26B8"/>
    <w:rsid w:val="1CE75528"/>
    <w:rsid w:val="1D17405F"/>
    <w:rsid w:val="1D9751A0"/>
    <w:rsid w:val="1DB45D52"/>
    <w:rsid w:val="1DCF0496"/>
    <w:rsid w:val="1E2D1660"/>
    <w:rsid w:val="1E4E1D03"/>
    <w:rsid w:val="1E652BA8"/>
    <w:rsid w:val="1E786D7F"/>
    <w:rsid w:val="1E8F40C9"/>
    <w:rsid w:val="1EA9518B"/>
    <w:rsid w:val="1F354C71"/>
    <w:rsid w:val="1F3709E9"/>
    <w:rsid w:val="1FD2426D"/>
    <w:rsid w:val="1FF561AE"/>
    <w:rsid w:val="203E7B55"/>
    <w:rsid w:val="204131A1"/>
    <w:rsid w:val="204333BD"/>
    <w:rsid w:val="20474C5B"/>
    <w:rsid w:val="20AE4CDA"/>
    <w:rsid w:val="20FB5A46"/>
    <w:rsid w:val="211865F8"/>
    <w:rsid w:val="21617F9F"/>
    <w:rsid w:val="217001E2"/>
    <w:rsid w:val="22A53EBB"/>
    <w:rsid w:val="22B97967"/>
    <w:rsid w:val="235D02F2"/>
    <w:rsid w:val="23897339"/>
    <w:rsid w:val="23902475"/>
    <w:rsid w:val="23ED1676"/>
    <w:rsid w:val="243B4AD7"/>
    <w:rsid w:val="243F5C4A"/>
    <w:rsid w:val="24967F5F"/>
    <w:rsid w:val="255B2F57"/>
    <w:rsid w:val="263C0693"/>
    <w:rsid w:val="26435EC5"/>
    <w:rsid w:val="26F62F37"/>
    <w:rsid w:val="27400656"/>
    <w:rsid w:val="27800A53"/>
    <w:rsid w:val="27826579"/>
    <w:rsid w:val="27AB1F74"/>
    <w:rsid w:val="282D2989"/>
    <w:rsid w:val="28B27332"/>
    <w:rsid w:val="292A336C"/>
    <w:rsid w:val="295201CD"/>
    <w:rsid w:val="29693E94"/>
    <w:rsid w:val="29C54E43"/>
    <w:rsid w:val="29C76E0D"/>
    <w:rsid w:val="29D05CC2"/>
    <w:rsid w:val="2A4144C9"/>
    <w:rsid w:val="2AFB6D6E"/>
    <w:rsid w:val="2B013C59"/>
    <w:rsid w:val="2B0C0F7B"/>
    <w:rsid w:val="2B125E66"/>
    <w:rsid w:val="2B726905"/>
    <w:rsid w:val="2C057779"/>
    <w:rsid w:val="2CEA709A"/>
    <w:rsid w:val="2D0A3299"/>
    <w:rsid w:val="2D4A5D8B"/>
    <w:rsid w:val="2E627104"/>
    <w:rsid w:val="2EA8720D"/>
    <w:rsid w:val="2EFF4953"/>
    <w:rsid w:val="2F01691D"/>
    <w:rsid w:val="2F176141"/>
    <w:rsid w:val="2F3E36CD"/>
    <w:rsid w:val="2F7B047E"/>
    <w:rsid w:val="2FCE2CA3"/>
    <w:rsid w:val="2FEE50F3"/>
    <w:rsid w:val="2FF16992"/>
    <w:rsid w:val="3041481D"/>
    <w:rsid w:val="309317F7"/>
    <w:rsid w:val="30D047F9"/>
    <w:rsid w:val="30E03EE4"/>
    <w:rsid w:val="30E3277E"/>
    <w:rsid w:val="3143321D"/>
    <w:rsid w:val="31570A76"/>
    <w:rsid w:val="3195334D"/>
    <w:rsid w:val="325A47BF"/>
    <w:rsid w:val="32764F2C"/>
    <w:rsid w:val="327B2543"/>
    <w:rsid w:val="32B51EF8"/>
    <w:rsid w:val="32E0684A"/>
    <w:rsid w:val="33105381"/>
    <w:rsid w:val="338418CB"/>
    <w:rsid w:val="33EC194A"/>
    <w:rsid w:val="3417273F"/>
    <w:rsid w:val="34360E17"/>
    <w:rsid w:val="344360E0"/>
    <w:rsid w:val="346516FC"/>
    <w:rsid w:val="34AF4725"/>
    <w:rsid w:val="34D81ECE"/>
    <w:rsid w:val="351C000D"/>
    <w:rsid w:val="35531555"/>
    <w:rsid w:val="357716E7"/>
    <w:rsid w:val="35E36D7D"/>
    <w:rsid w:val="35E6061B"/>
    <w:rsid w:val="361707D4"/>
    <w:rsid w:val="367E0853"/>
    <w:rsid w:val="36A75FFC"/>
    <w:rsid w:val="36DA1F2E"/>
    <w:rsid w:val="36EA7C97"/>
    <w:rsid w:val="37AD13F0"/>
    <w:rsid w:val="37C91FA2"/>
    <w:rsid w:val="37D01583"/>
    <w:rsid w:val="37DF17C6"/>
    <w:rsid w:val="37E1109A"/>
    <w:rsid w:val="38514471"/>
    <w:rsid w:val="38763ED8"/>
    <w:rsid w:val="3905525C"/>
    <w:rsid w:val="390E4110"/>
    <w:rsid w:val="39B12CEE"/>
    <w:rsid w:val="39C12F31"/>
    <w:rsid w:val="39F41558"/>
    <w:rsid w:val="3ABE357C"/>
    <w:rsid w:val="3B007A89"/>
    <w:rsid w:val="3B141786"/>
    <w:rsid w:val="3B281408"/>
    <w:rsid w:val="3B3B31B7"/>
    <w:rsid w:val="3B4C7172"/>
    <w:rsid w:val="3B702E61"/>
    <w:rsid w:val="3B9052B1"/>
    <w:rsid w:val="3BBF5B96"/>
    <w:rsid w:val="3C2105FF"/>
    <w:rsid w:val="3CD613E9"/>
    <w:rsid w:val="3CE33B06"/>
    <w:rsid w:val="3CFD6976"/>
    <w:rsid w:val="3D1E069A"/>
    <w:rsid w:val="3DDD0555"/>
    <w:rsid w:val="3DE6565C"/>
    <w:rsid w:val="3DE713D4"/>
    <w:rsid w:val="3DF338D5"/>
    <w:rsid w:val="3E976956"/>
    <w:rsid w:val="3E9B4698"/>
    <w:rsid w:val="3EB43064"/>
    <w:rsid w:val="3EC15781"/>
    <w:rsid w:val="3ECB4852"/>
    <w:rsid w:val="3F2B709E"/>
    <w:rsid w:val="3FC92B3F"/>
    <w:rsid w:val="40152228"/>
    <w:rsid w:val="40167D4F"/>
    <w:rsid w:val="40330901"/>
    <w:rsid w:val="405A40DF"/>
    <w:rsid w:val="40FC6F44"/>
    <w:rsid w:val="41110C42"/>
    <w:rsid w:val="41546D80"/>
    <w:rsid w:val="420E5181"/>
    <w:rsid w:val="42162288"/>
    <w:rsid w:val="42552DB0"/>
    <w:rsid w:val="42894808"/>
    <w:rsid w:val="42A72EE0"/>
    <w:rsid w:val="42AC04F6"/>
    <w:rsid w:val="42D71A17"/>
    <w:rsid w:val="42D9578F"/>
    <w:rsid w:val="43291B47"/>
    <w:rsid w:val="444A6219"/>
    <w:rsid w:val="447D65EE"/>
    <w:rsid w:val="44913E48"/>
    <w:rsid w:val="44F87A23"/>
    <w:rsid w:val="455C4456"/>
    <w:rsid w:val="46146ADE"/>
    <w:rsid w:val="4685178A"/>
    <w:rsid w:val="474F4272"/>
    <w:rsid w:val="47727F60"/>
    <w:rsid w:val="477B1CAA"/>
    <w:rsid w:val="47B17CB0"/>
    <w:rsid w:val="47B95B8F"/>
    <w:rsid w:val="481728B6"/>
    <w:rsid w:val="484F3E1E"/>
    <w:rsid w:val="486C0E54"/>
    <w:rsid w:val="4871646A"/>
    <w:rsid w:val="48FF3A76"/>
    <w:rsid w:val="49303C2F"/>
    <w:rsid w:val="49725FF6"/>
    <w:rsid w:val="49777AB0"/>
    <w:rsid w:val="497F0713"/>
    <w:rsid w:val="4981448B"/>
    <w:rsid w:val="49B760FE"/>
    <w:rsid w:val="4A791606"/>
    <w:rsid w:val="4AAA5C63"/>
    <w:rsid w:val="4AD52CE0"/>
    <w:rsid w:val="4B5856BF"/>
    <w:rsid w:val="4BAD77B9"/>
    <w:rsid w:val="4BC93EC7"/>
    <w:rsid w:val="4BCF3BD3"/>
    <w:rsid w:val="4BD27220"/>
    <w:rsid w:val="4C4A14AC"/>
    <w:rsid w:val="4C6267F5"/>
    <w:rsid w:val="4CC4300C"/>
    <w:rsid w:val="4CCC0113"/>
    <w:rsid w:val="4CD86AB8"/>
    <w:rsid w:val="4CDF42FF"/>
    <w:rsid w:val="4CE54D31"/>
    <w:rsid w:val="4D3F6B37"/>
    <w:rsid w:val="4D4203D5"/>
    <w:rsid w:val="4D6E2F78"/>
    <w:rsid w:val="4DC40DEA"/>
    <w:rsid w:val="4E0538DC"/>
    <w:rsid w:val="4E0F6509"/>
    <w:rsid w:val="4E4B5067"/>
    <w:rsid w:val="4E740A62"/>
    <w:rsid w:val="4EAD7AD0"/>
    <w:rsid w:val="4F1E452A"/>
    <w:rsid w:val="4F5B577E"/>
    <w:rsid w:val="4F7725B8"/>
    <w:rsid w:val="4F870321"/>
    <w:rsid w:val="506B19F1"/>
    <w:rsid w:val="50970A38"/>
    <w:rsid w:val="5099655E"/>
    <w:rsid w:val="50D37CC2"/>
    <w:rsid w:val="515B1A65"/>
    <w:rsid w:val="51984A67"/>
    <w:rsid w:val="51C615D4"/>
    <w:rsid w:val="521A31F8"/>
    <w:rsid w:val="527E3C5D"/>
    <w:rsid w:val="52D23FA9"/>
    <w:rsid w:val="53901E9A"/>
    <w:rsid w:val="53980D4F"/>
    <w:rsid w:val="53FF492A"/>
    <w:rsid w:val="542D76E9"/>
    <w:rsid w:val="549239F0"/>
    <w:rsid w:val="55050666"/>
    <w:rsid w:val="551B1C37"/>
    <w:rsid w:val="55214D74"/>
    <w:rsid w:val="55C20305"/>
    <w:rsid w:val="55DD513F"/>
    <w:rsid w:val="55E93AE3"/>
    <w:rsid w:val="561F3061"/>
    <w:rsid w:val="56905D0D"/>
    <w:rsid w:val="57034731"/>
    <w:rsid w:val="570D1A54"/>
    <w:rsid w:val="57405985"/>
    <w:rsid w:val="576176AA"/>
    <w:rsid w:val="57770C7B"/>
    <w:rsid w:val="57925AB5"/>
    <w:rsid w:val="57A71560"/>
    <w:rsid w:val="57FB18AC"/>
    <w:rsid w:val="58C16652"/>
    <w:rsid w:val="58D42829"/>
    <w:rsid w:val="58DD0FB2"/>
    <w:rsid w:val="59170968"/>
    <w:rsid w:val="59814033"/>
    <w:rsid w:val="59D6437F"/>
    <w:rsid w:val="59DD395F"/>
    <w:rsid w:val="5A2055FA"/>
    <w:rsid w:val="5A6A4AC7"/>
    <w:rsid w:val="5AE76118"/>
    <w:rsid w:val="5B4B2B4A"/>
    <w:rsid w:val="5B6A1223"/>
    <w:rsid w:val="5B9242D5"/>
    <w:rsid w:val="5BAB5397"/>
    <w:rsid w:val="5BB701E0"/>
    <w:rsid w:val="5BD6162C"/>
    <w:rsid w:val="5BF94355"/>
    <w:rsid w:val="5C3B2BBF"/>
    <w:rsid w:val="5CB309A7"/>
    <w:rsid w:val="5CCC3817"/>
    <w:rsid w:val="5CE96177"/>
    <w:rsid w:val="5CFF3BED"/>
    <w:rsid w:val="5D3E4715"/>
    <w:rsid w:val="5DF748C4"/>
    <w:rsid w:val="5E385608"/>
    <w:rsid w:val="5E40270F"/>
    <w:rsid w:val="5EF84D97"/>
    <w:rsid w:val="5F546472"/>
    <w:rsid w:val="5F6366B5"/>
    <w:rsid w:val="5FA12D39"/>
    <w:rsid w:val="5FC30F01"/>
    <w:rsid w:val="607D37A6"/>
    <w:rsid w:val="610C0686"/>
    <w:rsid w:val="622F287E"/>
    <w:rsid w:val="623C31ED"/>
    <w:rsid w:val="62522A10"/>
    <w:rsid w:val="6271733B"/>
    <w:rsid w:val="62744735"/>
    <w:rsid w:val="62D81168"/>
    <w:rsid w:val="62FA10DE"/>
    <w:rsid w:val="63147FAF"/>
    <w:rsid w:val="632936AA"/>
    <w:rsid w:val="633B34A5"/>
    <w:rsid w:val="6361115D"/>
    <w:rsid w:val="63EB4ECB"/>
    <w:rsid w:val="64607667"/>
    <w:rsid w:val="64F41B5D"/>
    <w:rsid w:val="653A1C66"/>
    <w:rsid w:val="6546685C"/>
    <w:rsid w:val="656960A7"/>
    <w:rsid w:val="65847385"/>
    <w:rsid w:val="659375C8"/>
    <w:rsid w:val="65D5373C"/>
    <w:rsid w:val="65F067C8"/>
    <w:rsid w:val="662A7F2C"/>
    <w:rsid w:val="66C51A03"/>
    <w:rsid w:val="66C978E2"/>
    <w:rsid w:val="674C3ED2"/>
    <w:rsid w:val="676E209B"/>
    <w:rsid w:val="67DC5256"/>
    <w:rsid w:val="682269E1"/>
    <w:rsid w:val="68490412"/>
    <w:rsid w:val="687E662D"/>
    <w:rsid w:val="68C1269E"/>
    <w:rsid w:val="68CA1553"/>
    <w:rsid w:val="68F20AA9"/>
    <w:rsid w:val="68FA47A2"/>
    <w:rsid w:val="68FB795E"/>
    <w:rsid w:val="692C65FB"/>
    <w:rsid w:val="69763488"/>
    <w:rsid w:val="69BF098B"/>
    <w:rsid w:val="6A132A85"/>
    <w:rsid w:val="6A9260A0"/>
    <w:rsid w:val="6AB04778"/>
    <w:rsid w:val="6AB37DC4"/>
    <w:rsid w:val="6AD466B8"/>
    <w:rsid w:val="6B347157"/>
    <w:rsid w:val="6B480E55"/>
    <w:rsid w:val="6B4F21E3"/>
    <w:rsid w:val="6B513865"/>
    <w:rsid w:val="6B7E4876"/>
    <w:rsid w:val="6B855C05"/>
    <w:rsid w:val="6B87372B"/>
    <w:rsid w:val="6BD36970"/>
    <w:rsid w:val="6BF54B38"/>
    <w:rsid w:val="6C4E4249"/>
    <w:rsid w:val="6C506213"/>
    <w:rsid w:val="6CE32BE3"/>
    <w:rsid w:val="6CE34991"/>
    <w:rsid w:val="6CE60925"/>
    <w:rsid w:val="6D01750D"/>
    <w:rsid w:val="6D6D06FE"/>
    <w:rsid w:val="6DF64B98"/>
    <w:rsid w:val="6E533D98"/>
    <w:rsid w:val="6E865F1C"/>
    <w:rsid w:val="6E895A0C"/>
    <w:rsid w:val="6F0B6421"/>
    <w:rsid w:val="6F0D2199"/>
    <w:rsid w:val="6FA67EF8"/>
    <w:rsid w:val="6FCA62DC"/>
    <w:rsid w:val="7027728A"/>
    <w:rsid w:val="70357BF9"/>
    <w:rsid w:val="705F07D2"/>
    <w:rsid w:val="70FA499F"/>
    <w:rsid w:val="7141612A"/>
    <w:rsid w:val="715E0A8A"/>
    <w:rsid w:val="71995F66"/>
    <w:rsid w:val="71AF12E6"/>
    <w:rsid w:val="71CC00E9"/>
    <w:rsid w:val="72047241"/>
    <w:rsid w:val="72075E88"/>
    <w:rsid w:val="722C2936"/>
    <w:rsid w:val="728B1D53"/>
    <w:rsid w:val="72907369"/>
    <w:rsid w:val="72964253"/>
    <w:rsid w:val="72B666A4"/>
    <w:rsid w:val="72E2393D"/>
    <w:rsid w:val="73C80D84"/>
    <w:rsid w:val="74387CB8"/>
    <w:rsid w:val="745919DD"/>
    <w:rsid w:val="74890514"/>
    <w:rsid w:val="74CC21AE"/>
    <w:rsid w:val="750B717B"/>
    <w:rsid w:val="754E350B"/>
    <w:rsid w:val="755F1275"/>
    <w:rsid w:val="75750A98"/>
    <w:rsid w:val="75D27C98"/>
    <w:rsid w:val="762C55FB"/>
    <w:rsid w:val="764010A6"/>
    <w:rsid w:val="76530DD9"/>
    <w:rsid w:val="768B7998"/>
    <w:rsid w:val="775A6197"/>
    <w:rsid w:val="775C3CBE"/>
    <w:rsid w:val="77F71C38"/>
    <w:rsid w:val="78126A72"/>
    <w:rsid w:val="78320EC2"/>
    <w:rsid w:val="786A30F2"/>
    <w:rsid w:val="7880578A"/>
    <w:rsid w:val="78CA2EA9"/>
    <w:rsid w:val="78F9378E"/>
    <w:rsid w:val="792E51E6"/>
    <w:rsid w:val="7A252A8D"/>
    <w:rsid w:val="7A37631C"/>
    <w:rsid w:val="7AA240DD"/>
    <w:rsid w:val="7B007056"/>
    <w:rsid w:val="7B2F16E9"/>
    <w:rsid w:val="7B3960C4"/>
    <w:rsid w:val="7BD227A0"/>
    <w:rsid w:val="7C232FFC"/>
    <w:rsid w:val="7C653614"/>
    <w:rsid w:val="7CB00608"/>
    <w:rsid w:val="7CF44998"/>
    <w:rsid w:val="7CFD1A9F"/>
    <w:rsid w:val="7D0F532E"/>
    <w:rsid w:val="7D715FE9"/>
    <w:rsid w:val="7E085548"/>
    <w:rsid w:val="7E17783D"/>
    <w:rsid w:val="7F052E8D"/>
    <w:rsid w:val="7F0569E9"/>
    <w:rsid w:val="7F761695"/>
    <w:rsid w:val="7F871AF4"/>
    <w:rsid w:val="7FEC1957"/>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rPr>
  </w:style>
  <w:style w:type="paragraph" w:styleId="3">
    <w:name w:val="Body Text 2"/>
    <w:basedOn w:val="1"/>
    <w:qFormat/>
    <w:uiPriority w:val="0"/>
    <w:pPr>
      <w:widowControl/>
      <w:jc w:val="center"/>
    </w:pPr>
    <w:rPr>
      <w:rFonts w:ascii="楷体_GB2312" w:eastAsia="楷体_GB2312"/>
      <w:sz w:val="28"/>
    </w:rPr>
  </w:style>
  <w:style w:type="paragraph" w:styleId="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character" w:styleId="7">
    <w:name w:val="Strong"/>
    <w:qFormat/>
    <w:uiPriority w:val="22"/>
    <w:rPr>
      <w:b/>
      <w:bCs/>
    </w:rPr>
  </w:style>
  <w:style w:type="paragraph" w:customStyle="1" w:styleId="8">
    <w:name w:val="首行缩进"/>
    <w:basedOn w:val="1"/>
    <w:qFormat/>
    <w:uiPriority w:val="0"/>
    <w:pPr>
      <w:spacing w:line="360" w:lineRule="auto"/>
      <w:ind w:firstLine="480"/>
      <w:jc w:val="left"/>
    </w:pPr>
    <w:rPr>
      <w:rFonts w:ascii="宋体" w:hAnsi="宋体" w:cs="宋体"/>
      <w:kern w:val="1"/>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1642</Words>
  <Characters>1733</Characters>
  <Lines>0</Lines>
  <Paragraphs>0</Paragraphs>
  <TotalTime>1</TotalTime>
  <ScaleCrop>false</ScaleCrop>
  <LinksUpToDate>false</LinksUpToDate>
  <CharactersWithSpaces>1738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2024-06-17T00:41:00Z</dcterms:created>
  <dc:creator>DG</dc:creator>
  <cp:lastModifiedBy>DG</cp:lastModifiedBy>
  <dcterms:modified xsi:type="dcterms:W3CDTF">2025-07-05T01:50:19Z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D8BA96F711C6468BACDD2DD487C338D8_12</vt:lpwstr>
  </property>
  <property fmtid="{D5CDD505-2E9C-101B-9397-08002B2CF9AE}" pid="4" name="KSOTemplateDocerSaveRecord">
    <vt:lpwstr>eyJoZGlkIjoiZTYwMDVmNjNmNmIzMmViNzYxMjg5Mjg3ZWJhZjg5NDIifQ==</vt:lpwstr>
  </property>
</Properties>
</file>